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-92073</wp:posOffset>
            </wp:positionH>
            <wp:positionV relativeFrom="paragraph">
              <wp:posOffset>-771152</wp:posOffset>
            </wp:positionV>
            <wp:extent cx="1853526" cy="1152525"/>
            <wp:effectExtent b="0" l="0" r="0" t="0"/>
            <wp:wrapNone/>
            <wp:docPr id="2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-703578</wp:posOffset>
            </wp:positionH>
            <wp:positionV relativeFrom="paragraph">
              <wp:posOffset>317500</wp:posOffset>
            </wp:positionV>
            <wp:extent cx="7175492" cy="3314700"/>
            <wp:effectExtent b="0" l="0" r="0" t="0"/>
            <wp:wrapNone/>
            <wp:docPr id="2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6839" w:w="11907" w:orient="portrait"/>
          <w:pgMar w:bottom="1440" w:top="1899" w:left="1440" w:right="1440" w:header="720" w:footer="737"/>
          <w:pgNumType w:start="1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287020</wp:posOffset>
                </wp:positionV>
                <wp:extent cx="7019925" cy="1423670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845563" y="307769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36"/>
                                <w:vertAlign w:val="baseline"/>
                              </w:rPr>
                              <w:t xml:space="preserve">02: Školicí balíček pro zaměstnance vyškolené k tomu, aby se stali mentory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287020</wp:posOffset>
                </wp:positionV>
                <wp:extent cx="7019925" cy="1423670"/>
                <wp:effectExtent b="0" l="0" r="0" t="0"/>
                <wp:wrapSquare wrapText="bothSides" distB="45720" distT="45720" distL="114300" distR="114300"/>
                <wp:docPr id="2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142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998220</wp:posOffset>
                </wp:positionV>
                <wp:extent cx="6638925" cy="1419225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36063" y="307769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Autor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Mindshift Talent Advisory, Portugalsko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Modul 3 –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  <w:t xml:space="preserve">Mentoringové scénáře pro nácvik hraní rolí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Pracovní list 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28"/>
                                <w:vertAlign w:val="baseline"/>
                              </w:rPr>
                              <w:t xml:space="preserve">2:</w:t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636a6f"/>
                                <w:sz w:val="24"/>
                                <w:vertAlign w:val="baseline"/>
                              </w:rPr>
                              <w:t xml:space="preserve"> Kontrolní seznam fáze přípravy mentora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998220</wp:posOffset>
                </wp:positionV>
                <wp:extent cx="6638925" cy="1419225"/>
                <wp:effectExtent b="0" l="0" r="0" t="0"/>
                <wp:wrapSquare wrapText="bothSides" distB="45720" distT="45720" distL="114300" distR="114300"/>
                <wp:docPr id="2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b w:val="1"/>
          <w:color w:val="93d4cc"/>
          <w:sz w:val="36"/>
          <w:szCs w:val="36"/>
        </w:rPr>
      </w:pPr>
      <w:r w:rsidDel="00000000" w:rsidR="00000000" w:rsidRPr="00000000">
        <w:rPr>
          <w:b w:val="1"/>
          <w:color w:val="93d4cc"/>
          <w:sz w:val="36"/>
          <w:szCs w:val="36"/>
          <w:rtl w:val="0"/>
        </w:rPr>
        <w:t xml:space="preserve">Začínáme s mentoringem</w:t>
      </w:r>
    </w:p>
    <w:p w:rsidR="00000000" w:rsidDel="00000000" w:rsidP="00000000" w:rsidRDefault="00000000" w:rsidRPr="00000000" w14:paraId="00000013">
      <w:pPr>
        <w:pStyle w:val="Heading2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  <w:t xml:space="preserve">Kontrolní seznam fáze přípravy mentora</w:t>
      </w: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e1e2e3" w:space="0" w:sz="4" w:val="single"/>
          <w:left w:color="e1e2e3" w:space="0" w:sz="4" w:val="single"/>
          <w:bottom w:color="e1e2e3" w:space="0" w:sz="4" w:val="single"/>
          <w:right w:color="e1e2e3" w:space="0" w:sz="4" w:val="single"/>
          <w:insideH w:color="e1e2e3" w:space="0" w:sz="4" w:val="single"/>
          <w:insideV w:color="e1e2e3" w:space="0" w:sz="4" w:val="single"/>
        </w:tblBorders>
        <w:tblLayout w:type="fixed"/>
        <w:tblLook w:val="0400"/>
      </w:tblPr>
      <w:tblGrid>
        <w:gridCol w:w="4604"/>
        <w:gridCol w:w="4605"/>
        <w:tblGridChange w:id="0">
          <w:tblGrid>
            <w:gridCol w:w="4604"/>
            <w:gridCol w:w="4605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47f5d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Kroky, které musím udělat, než začnu</w:t>
            </w:r>
          </w:p>
        </w:tc>
        <w:tc>
          <w:tcPr>
            <w:shd w:fill="93d4cc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Zdroje, které potřebuji mít k ruce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e6e7ed" w:val="clea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Příklad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☒ Navrhnout mentorskou smlouvu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7ed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Příklad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hyperlink r:id="rId17">
              <w:r w:rsidDel="00000000" w:rsidR="00000000" w:rsidRPr="00000000">
                <w:rPr>
                  <w:b w:val="1"/>
                  <w:color w:val="93d4cc"/>
                  <w:u w:val="single"/>
                  <w:rtl w:val="0"/>
                </w:rPr>
                <w:t xml:space="preserve">Odkaz na šablony mentorských smluv, které si mohu upravit: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color w:val="636a6f"/>
          <w:sz w:val="24"/>
          <w:szCs w:val="24"/>
        </w:rPr>
      </w:pPr>
      <w:r w:rsidDel="00000000" w:rsidR="00000000" w:rsidRPr="00000000">
        <w:rPr>
          <w:color w:val="636a6f"/>
          <w:sz w:val="24"/>
          <w:szCs w:val="24"/>
          <w:rtl w:val="0"/>
        </w:rPr>
        <w:t xml:space="preserve">(v případě potřeby přidejte další řádky)</w:t>
      </w:r>
    </w:p>
    <w:p w:rsidR="00000000" w:rsidDel="00000000" w:rsidP="00000000" w:rsidRDefault="00000000" w:rsidRPr="00000000" w14:paraId="00000026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636a6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  <w:t xml:space="preserve">Tipy k dokončení kontrolního seznamu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pacing w:after="0" w:lineRule="auto"/>
        <w:ind w:left="360" w:hanging="360"/>
        <w:rPr>
          <w:i w:val="1"/>
          <w:color w:val="636a6f"/>
          <w:sz w:val="24"/>
          <w:szCs w:val="24"/>
        </w:rPr>
      </w:pPr>
      <w:r w:rsidDel="00000000" w:rsidR="00000000" w:rsidRPr="00000000">
        <w:rPr>
          <w:i w:val="1"/>
          <w:color w:val="636a6f"/>
          <w:sz w:val="24"/>
          <w:szCs w:val="24"/>
          <w:rtl w:val="0"/>
        </w:rPr>
        <w:t xml:space="preserve">Nezapomeňte, že tento kontrolní seznam vyplňujete za konkrétní příklad, tj. podle toho, co Linda a Robert potřebují připravit před svými mentorskými sezeními.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ind w:left="360" w:hanging="360"/>
        <w:rPr>
          <w:i w:val="1"/>
          <w:color w:val="636a6f"/>
          <w:sz w:val="24"/>
          <w:szCs w:val="24"/>
        </w:rPr>
      </w:pPr>
      <w:r w:rsidDel="00000000" w:rsidR="00000000" w:rsidRPr="00000000">
        <w:rPr>
          <w:i w:val="1"/>
          <w:color w:val="636a6f"/>
          <w:sz w:val="24"/>
          <w:szCs w:val="24"/>
          <w:rtl w:val="0"/>
        </w:rPr>
        <w:t xml:space="preserve">Snažte se být konkrétní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i w:val="1"/>
          <w:color w:val="636a6f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M</w:t>
      </w:r>
      <w:r w:rsidDel="00000000" w:rsidR="00000000" w:rsidRPr="00000000">
        <w:rPr>
          <w:i w:val="1"/>
          <w:color w:val="636a6f"/>
          <w:sz w:val="24"/>
          <w:szCs w:val="24"/>
          <w:rtl w:val="0"/>
        </w:rPr>
        <w:t xml:space="preserve">ějte na paměti, co by Linda nebo Robert potřebovali shromáždit, aby připravili své první mentorské sezení.</w:t>
      </w:r>
    </w:p>
    <w:sectPr>
      <w:headerReference r:id="rId18" w:type="first"/>
      <w:footerReference r:id="rId19" w:type="first"/>
      <w:type w:val="nextPage"/>
      <w:pgSz w:h="16839" w:w="11907" w:orient="portrait"/>
      <w:pgMar w:bottom="1440" w:top="1899" w:left="1440" w:right="1417" w:header="72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636a6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3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b w:val="1"/>
        <w:color w:val="52baad"/>
      </w:rPr>
    </w:pPr>
    <w:r w:rsidDel="00000000" w:rsidR="00000000" w:rsidRPr="00000000">
      <w:rPr>
        <w:b w:val="1"/>
        <w:color w:val="52baa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2"/>
      <w:tblW w:w="901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39"/>
      <w:gridCol w:w="5478"/>
      <w:tblGridChange w:id="0">
        <w:tblGrid>
          <w:gridCol w:w="3539"/>
          <w:gridCol w:w="547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rPr>
              <w:color w:val="636a6f"/>
              <w:sz w:val="22"/>
              <w:szCs w:val="22"/>
            </w:rPr>
          </w:pPr>
          <w:r w:rsidDel="00000000" w:rsidR="00000000" w:rsidRPr="00000000">
            <w:rPr>
              <w:color w:val="636a6f"/>
            </w:rPr>
            <w:drawing>
              <wp:inline distB="0" distT="0" distL="0" distR="0">
                <wp:extent cx="1959884" cy="428286"/>
                <wp:effectExtent b="0" l="0" r="0" t="0"/>
                <wp:docPr descr="Uma imagem com texto, símbolo&#10;&#10;Descrição gerada automaticamente" id="240" name="image1.png"/>
                <a:graphic>
                  <a:graphicData uri="http://schemas.openxmlformats.org/drawingml/2006/picture">
                    <pic:pic>
                      <pic:nvPicPr>
                        <pic:cNvPr descr="Uma imagem com texto, símbolo&#10;&#10;Descrição gerada automaticament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84" cy="4282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80"/>
              <w:tab w:val="right" w:pos="9360"/>
            </w:tabs>
            <w:jc w:val="both"/>
            <w:rPr>
              <w:color w:val="636a6f"/>
              <w:sz w:val="14"/>
              <w:szCs w:val="14"/>
            </w:rPr>
          </w:pPr>
          <w:r w:rsidDel="00000000" w:rsidR="00000000" w:rsidRPr="00000000">
            <w:rPr>
              <w:color w:val="636a6f"/>
              <w:sz w:val="14"/>
              <w:szCs w:val="14"/>
              <w:rtl w:val="0"/>
            </w:rPr>
            <w:t xml:space="preserve">Tento projekt byl financován s podporou Evropské komise. Tato publikace odráží pouze názory autora a Komise nemůže být činěna odpovědnou za jakékoli použití informací v ní obsažených. Číslo projektu: 2020-1-BG01-KA202-079064</w:t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636a6f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b w:val="1"/>
        <w:color w:val="52baad"/>
      </w:rPr>
    </w:pPr>
    <w:r w:rsidDel="00000000" w:rsidR="00000000" w:rsidRPr="00000000">
      <w:rPr>
        <w:b w:val="1"/>
        <w:color w:val="52baa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b="0" l="0" r="0" t="0"/>
          <wp:wrapNone/>
          <wp:docPr id="2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16"/>
                              <w:vertAlign w:val="baseline"/>
                            </w:rPr>
                            <w:t xml:space="preserve">Tento projekt byl financován s podporou Evropské komise. Tato publikace odráží pouze názory autora, a komise nemůže být činěna odpovědnou za jakékoli použití informací v ní obsažených. Číslo projektu: 2020-1-BG01-KA202-079064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636a6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66132"/>
              <wp:effectExtent b="0" l="0" r="0" t="0"/>
              <wp:wrapNone/>
              <wp:docPr id="22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5120" cy="6661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-174623</wp:posOffset>
          </wp:positionV>
          <wp:extent cx="771525" cy="479735"/>
          <wp:effectExtent b="0" l="0" r="0" t="0"/>
          <wp:wrapNone/>
          <wp:docPr id="23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3911600</wp:posOffset>
              </wp:positionH>
              <wp:positionV relativeFrom="paragraph">
                <wp:posOffset>-132079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3911600</wp:posOffset>
              </wp:positionH>
              <wp:positionV relativeFrom="paragraph">
                <wp:posOffset>-132079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3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1500"/>
      </w:tabs>
      <w:spacing w:after="0" w:line="240" w:lineRule="auto"/>
      <w:rPr>
        <w:color w:val="636a6f"/>
      </w:rPr>
    </w:pPr>
    <w:r w:rsidDel="00000000" w:rsidR="00000000" w:rsidRPr="00000000">
      <w:rPr>
        <w:color w:val="636a6f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7251700</wp:posOffset>
              </wp:positionH>
              <wp:positionV relativeFrom="paragraph">
                <wp:posOffset>-170179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3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7251700</wp:posOffset>
              </wp:positionH>
              <wp:positionV relativeFrom="paragraph">
                <wp:posOffset>-170179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3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b="0" l="0" r="0" t="0"/>
          <wp:wrapNone/>
          <wp:docPr id="24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45720</wp:posOffset>
              </wp:positionV>
              <wp:extent cx="2506979" cy="467359"/>
              <wp:effectExtent b="0" l="0" r="0" t="0"/>
              <wp:wrapSquare wrapText="bothSides" distB="45720" distT="45720" distL="114300" distR="114300"/>
              <wp:docPr id="23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102036" y="3555846"/>
                        <a:ext cx="2487929" cy="44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192.99999237060547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Light" w:cs="Open Sans Light" w:eastAsia="Open Sans Light" w:hAnsi="Open Sans Light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45720</wp:posOffset>
              </wp:positionV>
              <wp:extent cx="2506979" cy="467359"/>
              <wp:effectExtent b="0" l="0" r="0" t="0"/>
              <wp:wrapSquare wrapText="bothSides" distB="45720" distT="45720" distL="114300" distR="114300"/>
              <wp:docPr id="23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79" cy="4673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c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09C4"/>
    <w:rPr>
      <w:color w:val="636a6f" w:themeColor="background2" w:themeShade="0000BF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EE"/>
  </w:style>
  <w:style w:type="character" w:styleId="Heading1Char" w:customStyle="1">
    <w:name w:val="Heading 1 Char"/>
    <w:basedOn w:val="DefaultParagraphFont"/>
    <w:link w:val="Heading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51068A"/>
    <w:pPr>
      <w:tabs>
        <w:tab w:val="right" w:leader="dot" w:pos="9017"/>
      </w:tabs>
      <w:spacing w:after="100"/>
    </w:pPr>
    <w:rPr>
      <w:b w:val="1"/>
      <w:caps w:val="1"/>
      <w:noProof w:val="1"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E6C00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0690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06902"/>
    <w:rPr>
      <w:rFonts w:ascii="Open Sans Light" w:hAnsi="Open Sans Light"/>
      <w:color w:val="636a6f" w:themeColor="background2" w:themeShade="0000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06902"/>
    <w:rPr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64565"/>
    <w:rPr>
      <w:color w:val="605e5c"/>
      <w:shd w:color="auto" w:fill="e1dfdd" w:val="clear"/>
    </w:rPr>
  </w:style>
  <w:style w:type="table" w:styleId="TabelacomGrelha1" w:customStyle="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cs="Times New Roman" w:eastAsia="Calibri" w:hAnsi="Calibri"/>
      <w:sz w:val="20"/>
      <w:szCs w:val="20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2" w:customStyle="1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elha3" w:customStyle="1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cs="Times New Roman" w:eastAsia="Calibri" w:hAnsi="Calibri"/>
      <w:sz w:val="20"/>
      <w:szCs w:val="20"/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 w:val="1"/>
    <w:rsid w:val="00CF7B6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11.png"/><Relationship Id="rId14" Type="http://schemas.openxmlformats.org/officeDocument/2006/relationships/footer" Target="footer1.xml"/><Relationship Id="rId17" Type="http://schemas.openxmlformats.org/officeDocument/2006/relationships/hyperlink" Target="https://cdn.ymaws.com/www.gwis.org/resource/resmgr/files/mentor_mentee_agreement_-_ex.pdf" TargetMode="External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footer" Target="footer4.xml"/><Relationship Id="rId6" Type="http://schemas.openxmlformats.org/officeDocument/2006/relationships/customXml" Target="../customXML/item1.xml"/><Relationship Id="rId18" Type="http://schemas.openxmlformats.org/officeDocument/2006/relationships/header" Target="header4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9jmfNn1u4of8lAS8x2Bv3VYhw==">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2021-09-20T16:01:00Z</dcterms:created>
  <dc:creator>Helen</dc:creator>
</cp:coreProperties>
</file>