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-92074</wp:posOffset>
            </wp:positionH>
            <wp:positionV relativeFrom="paragraph">
              <wp:posOffset>-771153</wp:posOffset>
            </wp:positionV>
            <wp:extent cx="1853526" cy="1152525"/>
            <wp:effectExtent b="0" l="0" r="0" t="0"/>
            <wp:wrapNone/>
            <wp:docPr id="24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-703579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Mindshift Talent Advisory,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1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 Principy a techniky mentoringu a reverzního mentoringu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 2: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Scénář 1 - Linda a Robert se stanou mentory na pracovišti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417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76" w:lineRule="auto"/>
        <w:rPr/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6839" w:w="11907" w:orient="portrait"/>
          <w:pgMar w:bottom="1440" w:top="1899" w:left="1440" w:right="1440" w:header="720" w:footer="73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5789805" cy="791927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57448" y="3390387"/>
                          <a:ext cx="5777105" cy="779227"/>
                        </a:xfrm>
                        <a:prstGeom prst="rect">
                          <a:avLst/>
                        </a:prstGeom>
                        <a:solidFill>
                          <a:srgbClr val="F3EDF7"/>
                        </a:solidFill>
                        <a:ln cap="flat" cmpd="sng" w="12700">
                          <a:solidFill>
                            <a:srgbClr val="9868B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1"/>
                                <w:smallCaps w:val="0"/>
                                <w:strike w:val="0"/>
                                <w:color w:val="673c88"/>
                                <w:sz w:val="24"/>
                                <w:vertAlign w:val="baseline"/>
                              </w:rPr>
                              <w:t xml:space="preserve">Učení je zjištění,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1"/>
                                <w:smallCaps w:val="0"/>
                                <w:strike w:val="0"/>
                                <w:color w:val="673c88"/>
                                <w:sz w:val="24"/>
                                <w:vertAlign w:val="baseline"/>
                              </w:rPr>
                              <w:t xml:space="preserve">které už znáte. Dělat znamená demonstrovat, že to víte. Učení je připomínat druhým, že vědí stejně dobře jako vy. Vy všichni jste studenti, činitelé a učitelé –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73c88"/>
                                <w:sz w:val="24"/>
                                <w:vertAlign w:val="baseline"/>
                              </w:rPr>
                              <w:t xml:space="preserve">Richard Bach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5789805" cy="791927"/>
                <wp:effectExtent b="0" l="0" r="0" t="0"/>
                <wp:wrapNone/>
                <wp:docPr id="2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9805" cy="7919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70"/>
        </w:tabs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Téměř každý začíná svou kariéru jako učeň. Definice učně je osoba, která pracuje s kvalifikovaným zkušeným pracovníkem, aby se od něj učila. Během našeho pracovního života se musíme naučit nové dovednosti, abychom se mohli přizpůsobit a sladit se s neustále se měnícím a neustále se vyvíjejícím pracovním prostředím. Učňovský model učení není ničím novým. Stát se mentorem na pracovišti lze považovat za přínos pro zaměstnance z hlediska zvýšeného sebevědomí. Z pohledu zaměstnavatele je učení se ze zkušeností ostatních v rámci společnosti vynikajícím způsobem, jak podpořit a zlepšit stanovování cílů, vytváření sítí a silných komunikačních dovedností. Mentor je někdo, kdo má příslušné odborné znalosti, dovednosti a chování a ví, jak je předat. V organizačních souvislostech byl koncept reverzního mentoringu propagován Jackem Welchem, bývalým generálním ředitelem General Electric, který v roce 1999 obrátil společnost vzhůru nohama tím, že nechal „mladé a talentované učit starší”, čímž vytvořil jeden z prvních programů reverzního mentoringu. V tomto smyslu a v organizačním kontextu se termín reverzní mentoring vztahuje na mentorské praktiky, kdy zaměstnanec považovaný za juniora podporuje vedoucího zaměstnance. Koncept reverzního mentoringu je stále silně spojen s podnikatelským světem a zaměřuje se na dovednosti, které může jedna generace předat druhé, například:</w:t>
      </w:r>
    </w:p>
    <w:p w:rsidR="00000000" w:rsidDel="00000000" w:rsidP="00000000" w:rsidRDefault="00000000" w:rsidRPr="00000000" w14:paraId="00000018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486400" cy="3212327"/>
                <wp:effectExtent b="0" l="0" r="0" t="0"/>
                <wp:wrapNone/>
                <wp:docPr id="2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12327"/>
                          <a:chOff x="0" y="0"/>
                          <a:chExt cx="5486400" cy="3212326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3212326"/>
                            <a:chOff x="0" y="0"/>
                            <a:chExt cx="5486400" cy="3212326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5486400" cy="32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329776" y="0"/>
                              <a:ext cx="1156437" cy="64246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3">
                                <a:alpha val="8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1348593" y="18817"/>
                              <a:ext cx="1118803" cy="604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Starší generace</w:t>
                                </w:r>
                              </w:p>
                            </w:txbxContent>
                          </wps:txbx>
                          <wps:bodyPr anchorCtr="0" anchor="ctr" bIns="64750" lIns="64750" spcFirstLastPara="1" rIns="64750" wrap="square" tIns="6475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000186" y="0"/>
                              <a:ext cx="1156437" cy="64246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3">
                                <a:alpha val="8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3019003" y="18817"/>
                              <a:ext cx="1118803" cy="604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Mladší generace</w:t>
                                </w:r>
                              </w:p>
                            </w:txbxContent>
                          </wps:txbx>
                          <wps:bodyPr anchorCtr="0" anchor="ctr" bIns="64750" lIns="64750" spcFirstLastPara="1" rIns="64750" wrap="square" tIns="6475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502275" y="2730477"/>
                              <a:ext cx="481849" cy="481849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rgbClr val="663B88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 rot="-240000">
                              <a:off x="1297211" y="2524000"/>
                              <a:ext cx="2891977" cy="202226"/>
                            </a:xfrm>
                            <a:prstGeom prst="rect">
                              <a:avLst/>
                            </a:prstGeom>
                            <a:solidFill>
                              <a:srgbClr val="663B88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-240000">
                              <a:off x="1302047" y="2159681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 rot="-240000">
                              <a:off x="1321394" y="2179028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Kritické myšlení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-240000">
                              <a:off x="1269924" y="1735653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 rot="-240000">
                              <a:off x="1289271" y="1755000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Řešení problému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 rot="-240000">
                              <a:off x="1237801" y="1311626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 rot="-240000">
                              <a:off x="1257148" y="1330973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Rozhodování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 rot="-240000">
                              <a:off x="1205677" y="887599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 rot="-240000">
                              <a:off x="1225024" y="906946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Manažerské postupy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 rot="-240000">
                              <a:off x="2972457" y="2044037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 rot="-240000">
                              <a:off x="2991804" y="2063384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Technologické výzvy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 rot="-240000">
                              <a:off x="2940334" y="1620010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 rot="-240000">
                              <a:off x="2959681" y="1639357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Mediální gramotnost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 rot="-240000">
                              <a:off x="2908211" y="1195982"/>
                              <a:ext cx="1147648" cy="396333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 rot="-240000">
                              <a:off x="2927558" y="1215329"/>
                              <a:ext cx="1108954" cy="357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Digitální dovednosti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486400" cy="3212327"/>
                <wp:effectExtent b="0" l="0" r="0" t="0"/>
                <wp:wrapNone/>
                <wp:docPr id="2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123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870"/>
        </w:tabs>
        <w:spacing w:after="0"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70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Při pohledu na váhy se zdá, že tento přenos dovedností je nevyvážený, ale není tomu tak.  Párování starších a mladších zaměstnanců na pracovišti prostřednictvím mentorských postupů není nic jiného než předávání dovedností, znalostí a hodnot.</w:t>
      </w:r>
    </w:p>
    <w:p w:rsidR="00000000" w:rsidDel="00000000" w:rsidP="00000000" w:rsidRDefault="00000000" w:rsidRPr="00000000" w14:paraId="0000002B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color w:val="9868bc"/>
          <w:sz w:val="32"/>
          <w:szCs w:val="32"/>
          <w:rtl w:val="0"/>
        </w:rPr>
        <w:t xml:space="preserve">INFORMAČNÍ KARTY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Linda Crawford (66) moderátorka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Linda má 66 let (narozena v roce 1955); Linda předčasně ukončila školní docházku a neměla luxus dalšího vzdělávání. Dostala svou první práci v oděvní továrně. Když začala pracovat, byla vyškolena kolegou z práce, který se s ní podělil o své odborné znalosti a dovednosti. Linda pokročila k tomu, aby se stala vedoucí výroby tím, že efektivně zvyšovala svou kvalifikaci, byla proaktivní, viděla příležitosti a využívala je.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Linda využila každé příležitosti, kterou jí společnost dala, aby se v továrně posunula. Je odbornicí na fungování továrny a má velký zájem o blaho svých kolegů.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Linda je velmi charismatická, vysoce motivovaná, ráda přebírá iniciativu, je přirozeným vůdcem. Navíc se svými zkušenostmi vyškolila a poskytla podporu téměř každému, kdo pracuje na výrobní lince. Když chce někdo vědět o továrně, jak funguje a jak se věci dělají, zeptá se Lindy.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 jen jedna věc, která Lindě úplně nevyhovuje: práce s technologiemi. Majitelé společnosti nyní aktualizují svou technologickou politiku a podnikají kroky k digitalizaci společnosti.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Robert Powell (25)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Robertovi je 25 let (narozen v roce 1996). Je grafický designér s vynikajícími IT dovednostmi, zejména s designovým a fotografickým softwarem. Má výjimečné tvůrčí schopnosti a nedávno byl najat, aby vyvinul novou brandingovou kampaň společnosti. </w:t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Toto je Robertovo druhé zaměstnání od doby, kdy opustil vysokou školu. Navzdory tomu, že je vynikajícím časovým manažerem s dobrými organizačními schopnostmi a smyslem pro detail, není si zcela jistý svými dovednostmi a hodně se stresuje tím, aby věci dělal správně.</w:t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Pracuje v oděvní továrně tři měsíce a stále o společnosti nic neví.  Takže jak se chystá vytáhnout novou strategii brandingu, aby pomohl společnosti vyniknout nad konkurencí?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color w:val="9868bc"/>
          <w:sz w:val="32"/>
          <w:szCs w:val="32"/>
          <w:rtl w:val="0"/>
        </w:rPr>
        <w:t xml:space="preserve">SITUAČNÍ KARTY </w:t>
      </w: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1 – Linda (66)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Ahoj Lindo, byla jsi zavolána na personální oddělení. Zde je to, o čem se diskutovalo:</w:t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45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Lindo, společnost roste a my si začínáme uvědomovat, že musíme jít online a být více digitalizovaní. </w:t>
            </w:r>
            <w:r w:rsidDel="00000000" w:rsidR="00000000" w:rsidRPr="00000000">
              <w:rPr>
                <w:i w:val="1"/>
                <w:rtl w:val="0"/>
              </w:rPr>
              <w:t xml:space="preserve">Abyste dokázala plnit své úkoly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budete muset </w:t>
            </w:r>
            <w:r w:rsidDel="00000000" w:rsidR="00000000" w:rsidRPr="00000000">
              <w:rPr>
                <w:i w:val="1"/>
                <w:rtl w:val="0"/>
              </w:rPr>
              <w:t xml:space="preserve">zvládnout práci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 novým softwarem, který společnost zavedla.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 tímto programem budete moci kontrolovat směny, vyměňovat si informace s ostatními pracovníky, dostávat výplatní pásky. V podstatě vše, co jste dělal</w:t>
            </w:r>
            <w:r w:rsidDel="00000000" w:rsidR="00000000" w:rsidRPr="00000000">
              <w:rPr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na papíře, bude</w:t>
            </w:r>
            <w:r w:rsidDel="00000000" w:rsidR="00000000" w:rsidRPr="00000000">
              <w:rPr>
                <w:i w:val="1"/>
                <w:rtl w:val="0"/>
              </w:rPr>
              <w:t xml:space="preserve">te provádět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prostřednictvím tohoto nového programu.</w:t>
            </w:r>
          </w:p>
          <w:p w:rsidR="00000000" w:rsidDel="00000000" w:rsidP="00000000" w:rsidRDefault="00000000" w:rsidRPr="00000000" w14:paraId="00000046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48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Ale víte, že počítače nejsou mým oborem!</w:t>
            </w:r>
          </w:p>
          <w:p w:rsidR="00000000" w:rsidDel="00000000" w:rsidP="00000000" w:rsidRDefault="00000000" w:rsidRPr="00000000" w14:paraId="00000049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4B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Ano, Lindo, víme. Ale nedělejte si s tím starosti. Společnost má nový mentoringový program. Cílem tohoto programu je spojit spolupracovníky z různých oblastí a oddělení a </w:t>
            </w:r>
            <w:r w:rsidDel="00000000" w:rsidR="00000000" w:rsidRPr="00000000">
              <w:rPr>
                <w:i w:val="1"/>
                <w:rtl w:val="0"/>
              </w:rPr>
              <w:t xml:space="preserve">nechat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je vyměňovat si znalosti a dovednosti prostřednictvím orientovaných mentorských sezení.</w:t>
            </w:r>
          </w:p>
          <w:p w:rsidR="00000000" w:rsidDel="00000000" w:rsidP="00000000" w:rsidRDefault="00000000" w:rsidRPr="00000000" w14:paraId="0000004C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4E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 to znamená v praxi?</w:t>
            </w:r>
          </w:p>
          <w:p w:rsidR="00000000" w:rsidDel="00000000" w:rsidP="00000000" w:rsidRDefault="00000000" w:rsidRPr="00000000" w14:paraId="0000004F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51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Ve vašem případě, abychom </w:t>
            </w:r>
            <w:r w:rsidDel="00000000" w:rsidR="00000000" w:rsidRPr="00000000">
              <w:rPr>
                <w:i w:val="1"/>
                <w:rtl w:val="0"/>
              </w:rPr>
              <w:t xml:space="preserve">šli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přímo k věci, vás spojíme s Robertem Powellem, naším novým grafickým designérem, který ví vše o softwaru, počítačích, sociálních médiích a vše, co je třeba vědět o internetu a o tom, jak věci fungují v tomto digitalizovaném světě, ve kterém žijeme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Bude to váš mentor.</w:t>
            </w:r>
          </w:p>
          <w:p w:rsidR="00000000" w:rsidDel="00000000" w:rsidP="00000000" w:rsidRDefault="00000000" w:rsidRPr="00000000" w14:paraId="00000052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54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Můj mentor? Ale má jen 25 a ve firmě je teprve tři měsíce. Co mě může naučit?</w:t>
            </w:r>
          </w:p>
          <w:p w:rsidR="00000000" w:rsidDel="00000000" w:rsidP="00000000" w:rsidRDefault="00000000" w:rsidRPr="00000000" w14:paraId="00000055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57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No, Lindo, jak jsem řekla, rozumí technologiím a v této oblasti potřebujete školení a podporu. A jak jste řekla vy, </w:t>
            </w:r>
            <w:r w:rsidDel="00000000" w:rsidR="00000000" w:rsidRPr="00000000">
              <w:rPr>
                <w:i w:val="1"/>
                <w:rtl w:val="0"/>
              </w:rPr>
              <w:t xml:space="preserve">„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je tu teprve tři měsíce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 Z tohoto důvodu ho budete mentorovat a poskytovat mu podporu ve všech oblastech, se kterými potřebuje pomoc.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Ale nebojte se, všichni ve firmě dostanou školení a informace </w:t>
            </w:r>
            <w:r w:rsidDel="00000000" w:rsidR="00000000" w:rsidRPr="00000000">
              <w:rPr>
                <w:i w:val="1"/>
                <w:rtl w:val="0"/>
              </w:rPr>
              <w:t xml:space="preserve">k tomuto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novému mentoringovému programu.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2 – Robert (25)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Ahoj Roberte, byl jsi povolán na personální oddělení. Zde je to, o čem se diskutovalo: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62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Roberte, vidíme, že máte potíže </w:t>
            </w:r>
            <w:r w:rsidDel="00000000" w:rsidR="00000000" w:rsidRPr="00000000">
              <w:rPr>
                <w:i w:val="1"/>
                <w:rtl w:val="0"/>
              </w:rPr>
              <w:t xml:space="preserve">poznat dynamiku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společnosti a všimli jsme si, že máte nějaké problémy zapadnout mezi lidi z různých oddělení.</w:t>
            </w:r>
          </w:p>
          <w:p w:rsidR="00000000" w:rsidDel="00000000" w:rsidP="00000000" w:rsidRDefault="00000000" w:rsidRPr="00000000" w14:paraId="00000063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65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je pravda, Carlo, opravdu se obávám projektu re-brandingu a zaměřil jsem se na nalezení správného konceptu</w:t>
            </w:r>
            <w:r w:rsidDel="00000000" w:rsidR="00000000" w:rsidRPr="00000000">
              <w:rPr>
                <w:i w:val="1"/>
                <w:rtl w:val="0"/>
              </w:rPr>
              <w:t xml:space="preserve">. 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otva mám čas se dostat do kontaktu se svými kolegy.</w:t>
            </w:r>
          </w:p>
          <w:p w:rsidR="00000000" w:rsidDel="00000000" w:rsidP="00000000" w:rsidRDefault="00000000" w:rsidRPr="00000000" w14:paraId="00000066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68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Ale víte, být v kontaktu se svými kolegy by vám mohlo usnadnit práci</w:t>
            </w:r>
            <w:r w:rsidDel="00000000" w:rsidR="00000000" w:rsidRPr="00000000">
              <w:rPr>
                <w:i w:val="1"/>
                <w:rtl w:val="0"/>
              </w:rPr>
              <w:t xml:space="preserve">, že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9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6B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Jak je to možné? </w:t>
            </w:r>
          </w:p>
          <w:p w:rsidR="00000000" w:rsidDel="00000000" w:rsidP="00000000" w:rsidRDefault="00000000" w:rsidRPr="00000000" w14:paraId="0000006C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6E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Společnost má nový mentoringový program. Cílem tohoto programu je spojit různé spolupracovníky z různých oblastí a oddělení a povzbudit je k výměně znalostí a dovedností prostřednictvím orientovaných mentorských sezení. Myslíme si, že byste mohl být mentorován Lindou Crawfordovou a vy můžete být jejím mentorem.</w:t>
            </w:r>
          </w:p>
          <w:p w:rsidR="00000000" w:rsidDel="00000000" w:rsidP="00000000" w:rsidRDefault="00000000" w:rsidRPr="00000000" w14:paraId="0000006F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71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Být Lindiným mentorem, jak je to možné? Co ji mohu naučit? Linda ví všechno o historii společnosti a je tu tak dlouho</w:t>
            </w:r>
            <w:r w:rsidDel="00000000" w:rsidR="00000000" w:rsidRPr="00000000">
              <w:rPr>
                <w:i w:val="1"/>
                <w:rtl w:val="0"/>
              </w:rPr>
              <w:t xml:space="preserve">!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V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sadím se, že t</w:t>
            </w:r>
            <w:r w:rsidDel="00000000" w:rsidR="00000000" w:rsidRPr="00000000">
              <w:rPr>
                <w:i w:val="1"/>
                <w:rtl w:val="0"/>
              </w:rPr>
              <w:t xml:space="preserve">u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není nic, co bych ji mohl nauči</w:t>
            </w: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74">
            <w:pPr>
              <w:ind w:left="72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No, Roberte, to je důvod, proč máme toto školicí oddělení. Spojujeme lidi, kteří mají různé dovednosti</w:t>
            </w:r>
            <w:r w:rsidDel="00000000" w:rsidR="00000000" w:rsidRPr="00000000">
              <w:rPr>
                <w:i w:val="1"/>
                <w:rtl w:val="0"/>
              </w:rPr>
              <w:t xml:space="preserve"> 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odborné znalosti. Vy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Linda budete nyní těžit z tréninkových potřeb toho druhého. Linda musí být vyškolena a vedena v používání technologií a můžete využít některé z jejích zkušeností a </w:t>
            </w:r>
            <w:r w:rsidDel="00000000" w:rsidR="00000000" w:rsidRPr="00000000">
              <w:rPr>
                <w:i w:val="1"/>
                <w:rtl w:val="0"/>
              </w:rPr>
              <w:t xml:space="preserve">zjistit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jak se dozvědět více o továrně a společnosti. Její zkušenosti vám pomohou odblokovat </w:t>
            </w:r>
            <w:r w:rsidDel="00000000" w:rsidR="00000000" w:rsidRPr="00000000">
              <w:rPr>
                <w:i w:val="1"/>
                <w:rtl w:val="0"/>
              </w:rPr>
              <w:t xml:space="preserve">své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nápady na projekt rebrandingu a představí vás všem v továrně. A můžete to použít k odemknutí své kreativity tím, že se dostanete do kontaktu s naší firemní DNA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77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 zní skvěle. Jen mi dejte vědět, kdy a jak začít!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17" w:type="first"/>
      <w:footerReference r:id="rId18" w:type="first"/>
      <w:type w:val="nextPage"/>
      <w:pgSz w:h="16839" w:w="11907" w:orient="portrait"/>
      <w:pgMar w:bottom="1440" w:top="1899" w:left="1440" w:right="1417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8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8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5"/>
      <w:tblW w:w="901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9"/>
      <w:gridCol w:w="5478"/>
      <w:tblGridChange w:id="0">
        <w:tblGrid>
          <w:gridCol w:w="3539"/>
          <w:gridCol w:w="547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both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0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3581400</wp:posOffset>
              </wp:positionH>
              <wp:positionV relativeFrom="paragraph">
                <wp:posOffset>33021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6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3581400</wp:posOffset>
              </wp:positionH>
              <wp:positionV relativeFrom="paragraph">
                <wp:posOffset>33021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-174624</wp:posOffset>
          </wp:positionV>
          <wp:extent cx="771525" cy="479735"/>
          <wp:effectExtent b="0" l="0" r="0" t="0"/>
          <wp:wrapNone/>
          <wp:docPr id="2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45720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45720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rFonts w:ascii="Open Sans Light" w:hAnsi="Open Sans Light"/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rFonts w:cs="Open Sans Light"/>
      <w:b w:val="1"/>
      <w:caps w:val="1"/>
      <w:noProof w:val="1"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6C504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9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7.png"/><Relationship Id="rId14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4yauuMUpV12OLqRG2AGHJZSsQ==">AMUW2mX6z9THL1UrTTEzvQq04PBLBlQiGQzTQoxX98Wfl/ctnogjh4tbFySUIN0de01OJ2ansBh5lX/Y6UWszaz6d9n3CTRNWWhUWX1SlgKtqFsLWovAWUUx8NGDjAIYm0FAuofRl4rw0EirKAqUuhEJZNwevzSkfgE+yVyN5EsSRzXjXl9MmCKHdozGL1Q34kgA+Qa8ayNGQKWr89CZrFLbJwL6zME2ZbyRtXtsoKNByr/D3OzecFiLdn7uKJ11UOWKiUD8Cip7YS7fpIwz7chGlDY9n/Avzk6vam4ZA4RThjY/xzF8ubRrH7skYKSHt/c1Vp2YHvM45vexd66DPLjSWwqMxzFs7m+cJ8Cv7F1baD2+LYnXW+XQCdZxxgNwYZIFWRiMBeBoSfeb3fYn26mxFPsXEvBrRBASXYVyrCnCq/1YWlJzdMzh1LKET6HFozUe6NwYysXasFBwYqcTTbarNROa/wuNsCDPSV7Dak59RpI1UpljNrhmNN/NfWV3VzXhDRPnzvafQXc2tEXnFhQdYzqI9FCX47BuIrDOfKs94Fkz7AC+jbO6fh5l6cPPo3s5X03/gkaCnpBd+kBS3/02akn1zuGsmiK3X6V2XVzwKzM/vl/kjHv1Nx04dZpiq+sYZcd2ilsiwmMiEzTN6Zw4EcrnZW/iwYLBYLLZBZFRVaE+tLNeAjO+SK2WvaD6GGLExxa+BCD3bRIy3rS2YJuOFU0mUDNln+mLqvC1ExsQqItgWGxJiDWIxHdyB/U4uWfkvAjOqmwZ8UjeBUWxzgYqVQNK4Kz4MByrRvSXihqkXZdTZiUzAy9IfAMqsWhT7rhULrZ5Uw4dzPmXa763c9FLr9g+CLLdl7jPfwLgquVhF84DPLe8JmYk5Ut/V6OCejMmgrcApVf95Wf4EObhvHXlgj8R77nAd3FgjFGTEunmIr2zjiOJ6pItj91jrFo52WcSCB6/nlX/9m7UyroJ1ROCqeloa7pr9sC+D1GJldOMWBSSox2emmXxh8Meq4pkEkCT0lPnlAAeYgN3pPQ8h8OWe5dS0SRhJC+TMqV613jkxiedN2ubLh5gU2MRYoTMhIYdgr9OMIlGNQ3AE2WYLowNeOzzamAThlAX54NXRdhO2qB4b0FTUDsB5+SFLw2DsFfcUpCBVzWPBGyv3lEJFW37LdtRkVMOO5OH4SdLWOKDZFcjBLE37EyivSjyQI0eTA9/C6oxV/VqCd+tHJnepfphvofYBArb0cF56Us8sTcWMbOiZXz258Dt1nkfFZn6O+oNX9n2/bPNudYwPlEO8krYMXY5bfa1clqWUXRgzx7V14mhjC3IiZ/TvV06eX6wZZDdEwaaczTVsv/RpDOL4AhajsdMKr8JLjgyH0SU5wp9rPo1UMViLCzVvEouQzt0BLyNXDTxuR3KsePs2dCjbiWYqdSAW3brGgxpoJ0I48u9rWBEqR2Z0JjHuSvNQTvitCpdS/7jAjRHNDUM5jhWnlTm4yTCTM719QGq6w+9/PDq1T463b0HEIBLWTZa0vXOgUdgnygInsg2kCz2k3n2uUeLmQfwjBKEZSSM+uDzsUfdD4LSfSl3laWA2dx6MLJ/5/UQc4xLV/4IOXPFxbMlBXyiL6Ar0XHKSzgubd48ZbBX2aV1N/GGlwr2Fm/Iq34wrqcPRdolbklDjQEREsksAnXZATJ37ByMyy2iesCSPi1xT/LXRvX8sRH4n/ZYj+uxEsR+2JyMbxra3I7ugOfzgoWLkZ7v88p/w7eX/ultKuhE2ivMwRorNTKEDc86k2EdChEIOHARhJd5xWWYqm9ctRZCUnxmm95ZNLi7+gZZxHurE2iv4WDjYxMq/weG8WUuhOgrzD5qIgonrFxhGt/r9U2jLV5ISRTINxK/5oY+Qhc6+u6z3aKl5SrO4tclWa3sfnqkgpLPZygDlvwfSlifQsOnc7zbRDsVSY8mp8XZG2FLwN/XnnwrcK9phdXbuxs9MuYxkXJ5VSl6ePcxVwtuM1Pg8azB57y8Yg9copAUxItAkxDdXV7Aclrg5JYp1qnBpiKv/pRORT/2yKni1eHI7jBWYFoN+W26mhH4+1QJnaxGWkZNeZte7pYQkdpkgCjkXPZgkiYHguHyF+1lULicfcNjeRWriG4AqfKiUN2zBc+L1HF251egz8XKOvdmcuawNmoKnX/FqqtYiBGiuLZjicnypbvyTfIfjtpd3APph6QzTZP85wSb2dOoVGXrilIbmXdh5eUYBziCB5Bvul9QG2Y5N0tZILdCr22m/Y4NY8YnoBngmT9HWyxOxwczVXRpRcGV8+OfQAuehYQgE4OsIq36Vv8y0lGgzCj+a4vC7m6/mL7Wi38kAXmZhboiBdv1yvcMhKZv8XaDAHc5sW1HXVM5IDl77Ipq/YGroL5h8xJJvWvl4bCjHTaeoSLyO1HruKEryK9rA0n5ErSUPa8AA4qjAyDw2vZeg7nofvLv8PMYtO8xhPyIlub3CqiL6qf0WDVu9ADxNswz0y3XeYxAOwxnHfCUi9Apt5tB4pVx0b9mchnDW8uwgZlJ9muD4SFFcl1P4J4bK2n/+vnL3CTc5SyXlOE1f5s+KwpL+3LCkt++nAST1BYTGiosD6lh5Nb+s0THVMJUGszuEqYPl4AqbKPv45a556wiuI7QGUGXQVUJ9zCjcWL/ccWqbr1l9WXy+I3Nhgo0IgIMCAsKUGLelQqpnkOjymIh6M2I45QsxgAEqL0ALqXNBtkNDCbH2uNv3GoXkq5iili8tf0zmdhCFBtNDJIbAaW2aQrkTBGs4GJi8DJrTXXYjka0IaJn4BvhlasSEa5zsUeZBOQNcFzJ0BK3moNHcUQLlQB2SEPQNPWPkdTSv/Ty9VD9rUhV4nCGr6bsJs7wX9sp5ucI89JhU6f8E16elGmO4MCLbiCebFBt5lG1bpdZ6/BtjF5dCwYeJXgR83GsWeQrMy1Hzt4jUWu37G6MSq1neVadS36rfrZS0iZhttAmIbcLfNlbR95oMe0U4qH7VHz8EV7hRPOAL5nWLfSmkOcslHoPpTw0J35KHpQsRe1TnaBiwvQE3+1a/RRC+VVHmgxfbmVobiIr0gV/W0lKfLUs7m5KEAwigMh1RGpW+dnX+fuAoKQif1hjMBIyRBOMW4w+GypKYEdQJJT65R7EKWkLRKs0kzIdT//A905lttYL9a4f5NdmY8CO9TDcGTycFqnB3e3v9MV3BMbrHjFXrsWV4KtRkH5zUoWCvQJsFHTHyR6q669BnX2+8uROQfOJcqlzEpcG44a9s/VSBNnKf9npmPE3eT1fnqJ/tix/IXBvLKLJAQSXL5Eqe5wmWWkoGe7jfbF4ozRXGUN3hnzWfQyrtphA5sspwfPr2/5824T2zZrnoVv24lbkX/WGUBfVRsc6kBf/6Mh0P/ZF5CuohvpGCTOjf0k28rCRI2iMLmw9frE8E7wjnfEj+WHwRpWg/YOiGuVhfEFPdKtNTfWQxrVwvHwLKKUHA1F3tNaLhSMlpkuutuPsfJOmlRTCmBuZ419qns6ISl1eJcfEPdD7ffIiM5Gius1My5Z2HmRMP1kIGBWtS9zACTYB0UzblKQ79xN2Z/tOT0xtsf/4pz434J6zh8iR+2Zfj+qBmotulxLeQpUa6dgaVoZrXNhAJjjIj3YNBUAViet4MI4ZcnytZQ+Yasn0QORj5AkturcmQntprsKP9B+LrI5oe4ux+MYJRlRKS0SWyatT6N0I0FbPicBjatKUy5LFAwsAyuCRep38Zv6itVmittUYa1iwA+ZUemQXD1SFjXgQgAJ7uxURjvExHieFlD3Xx9KI57h4k/PPqqtUkpOLUdVEU/SjSLFXCUAag7NgxNfa+SCzEcBcoMWIuN/TNSM9y0k4AlMQFvW33PtgGVrAbL9ofAr1W0HBfgEmXh2qcy7Z3V1xOwvFwcCYD+6ltxfaNjR5DdezCDr34U2KzBQ41lNPFDuraTjSSeGm6+GI0Kz/+V011ijXnLx+E/5nKB6K56Psdmrbr/IyscKPDoo/h0K0OaqQ6y5wXlUH7HmVkDX7kITaZsGctkk1y9JflaB5eWuShDrDJAcBo6DdtxNBWky2IdGzIYsz6PZvp0Cq+0VBOy+f3hVGw0Cj2xTSVzDxWHDvwmbycDXgbOSIkwzCf2YoaaV15r6wveR2VEHnYDOid0xxszsOJgk9qo00IiR/MzKWNDpg9elcF8l56OGpq+o+wL7DMfSz+S/EKmWd/Rus1BLRajKCcL8G+/Lex2gZCzg5IsNr26kFFlctyXJPaN5U+oe5O+iBznwVbfFIgwGKRqjxakqI+TIBUcxb+4QPUaO/ZCvGa/fovpd4AcaJdPiJDRwwmzhNA0sRd4yRHlwgzJwp7SZ8k1zHu4GXZuBU2u0ceR09Ou+FU/cxkd/9jDif0z5G9iwuGF84tL45v11S3dZXxMkrvnjc3751kQH7IU8YmetI3DEY5p79RB9cWEEZKa+uuKHtzq0JSQ49lyg2R2dU3REYr+5i8Auvur0cf+j0uRJSYH8e6vEe9aducJ/R1Rn3EQ7+kqTVzxOqrfd7Txcmx1nvavc8OvHowy0c4hLGFqc1Qo3ath+tC4r1iU165PVfo5YqNjKB//LNQc2rf14+dAe1gJiCgGu0lMxd9DJNLdDO+bF0PQe6f0YRoA8CAMU3eqyI1HpnWwzNtBnaWGxFCi+MZJ+oU+XlC4o0WXOoKDxr9vvOvDDcBfQEM1nquiorjkkb+VluE8K0j0Czl7CeomFdPxbJaM0OvsmNRbc60mSzZ88ugS58NFZGCEd6XXO90kRqMCR4JGkySRc0Bo8WJFvJfOIX3RTeI8g6bor72SOkDJckOMDv2OSySjDsfYtAANdWyoBKroK0H/6KjEiQWYVoJoojg6SUGMZ6j2l1ULoH5cDMDSH77nCJa2vHsJc8FZK2QsWggZOqWiMMhbGlatKaI6D882Egm9pHKzU2F2eM2TdLeUuqANGtCkYMV8GFpzLboK6MMUqgPNScAcsYCom1x2qEwNS7M9IYxQCb5KLdaPM7oSua/r/ocozzLjTWUqHNMJmI8bYeihqo/wqwLNzu9OsFWJRsJiVGUEXJMLmnQM76i4r1LwfNjhmGBMdH0nctrSWOBfWknsiVFHR5QHBCeEWq44itCcJHYt/rkHXhiv4EpM458Zv/jfcMd4m+xvH+qVa06BbfGJ/eOxCOcEuIrJJfhvfAj5BSlzDjJ9Xf708V72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2021-09-02T22:49:00Z</dcterms:created>
  <dc:creator>Helen</dc:creator>
</cp:coreProperties>
</file>