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A8E1" w14:textId="77777777" w:rsidR="00355742" w:rsidRDefault="00D334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61D0E17" wp14:editId="3AC370B8">
                <wp:simplePos x="0" y="0"/>
                <wp:positionH relativeFrom="column">
                  <wp:posOffset>438150</wp:posOffset>
                </wp:positionH>
                <wp:positionV relativeFrom="paragraph">
                  <wp:posOffset>13335</wp:posOffset>
                </wp:positionV>
                <wp:extent cx="5181600" cy="146685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1A782B" w14:textId="07E703C6" w:rsidR="00355742" w:rsidRPr="00CB3B69" w:rsidRDefault="00CB3B6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bg-BG"/>
                              </w:rPr>
                            </w:pPr>
                            <w:bookmarkStart w:id="0" w:name="_Hlk79152190"/>
                            <w:bookmarkStart w:id="1" w:name="_Hlk79152191"/>
                            <w:r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  <w:lang w:val="bg-BG"/>
                              </w:rPr>
                              <w:t>Проектиране на стратегии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D0E17" id="Rectangle 219" o:spid="_x0000_s1026" style="position:absolute;margin-left:34.5pt;margin-top:1.05pt;width:408pt;height:11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" filled="f" stroked="f">
                <v:textbox inset="2.53958mm,1.2694mm,2.53958mm,1.2694mm">
                  <w:txbxContent>
                    <w:p w14:paraId="741A782B" w14:textId="07E703C6" w:rsidR="00355742" w:rsidRPr="00CB3B69" w:rsidRDefault="00CB3B69">
                      <w:pPr>
                        <w:spacing w:line="258" w:lineRule="auto"/>
                        <w:jc w:val="center"/>
                        <w:textDirection w:val="btLr"/>
                        <w:rPr>
                          <w:lang w:val="bg-BG"/>
                        </w:rPr>
                      </w:pPr>
                      <w:bookmarkStart w:id="2" w:name="_Hlk79152190"/>
                      <w:bookmarkStart w:id="3" w:name="_Hlk79152191"/>
                      <w:r>
                        <w:rPr>
                          <w:rFonts w:ascii="Open Sans" w:hAnsi="Open Sans"/>
                          <w:b/>
                          <w:color w:val="52BAAD"/>
                          <w:sz w:val="72"/>
                          <w:lang w:val="bg-BG"/>
                        </w:rPr>
                        <w:t>Проектиране на стратегии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88ACFC" w14:textId="55A221B7" w:rsidR="00355742" w:rsidRDefault="00355742"/>
    <w:p w14:paraId="0F611318" w14:textId="47F454B4" w:rsidR="00C42B15" w:rsidRDefault="00CB3B69" w:rsidP="00C42B15">
      <w:bookmarkStart w:id="4" w:name="_heading=h.3j2qqm3" w:colFirst="0" w:colLast="0"/>
      <w:bookmarkEnd w:id="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F53B3FA" wp14:editId="3DCDBBAB">
                <wp:simplePos x="0" y="0"/>
                <wp:positionH relativeFrom="column">
                  <wp:posOffset>-666750</wp:posOffset>
                </wp:positionH>
                <wp:positionV relativeFrom="paragraph">
                  <wp:posOffset>961390</wp:posOffset>
                </wp:positionV>
                <wp:extent cx="7153275" cy="1362075"/>
                <wp:effectExtent l="0" t="0" r="0" b="9525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7E87E8" w14:textId="77777777" w:rsidR="00CB3B69" w:rsidRDefault="00CB3B69" w:rsidP="00CB3B6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</w:pPr>
                            <w:bookmarkStart w:id="5" w:name="_Hlk79152198"/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</w:rPr>
                              <w:t xml:space="preserve">IO1: </w:t>
                            </w: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 xml:space="preserve">Учебна програма за обучение </w:t>
                            </w:r>
                          </w:p>
                          <w:p w14:paraId="5930B63B" w14:textId="77777777" w:rsidR="00CB3B69" w:rsidRDefault="00CB3B69" w:rsidP="00CB3B6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>между поколенията</w:t>
                            </w:r>
                          </w:p>
                          <w:bookmarkEnd w:id="5"/>
                          <w:p w14:paraId="0E3AA2A6" w14:textId="43888C63" w:rsidR="00355742" w:rsidRDefault="003557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3B3FA" id="Rectangle 222" o:spid="_x0000_s1027" style="position:absolute;margin-left:-52.5pt;margin-top:75.7pt;width:563.25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" filled="f" stroked="f">
                <v:textbox inset="2.53958mm,1.2694mm,2.53958mm,1.2694mm">
                  <w:txbxContent>
                    <w:p w14:paraId="687E87E8" w14:textId="77777777" w:rsidR="00CB3B69" w:rsidRDefault="00CB3B69" w:rsidP="00CB3B69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</w:pPr>
                      <w:bookmarkStart w:id="6" w:name="_Hlk79152198"/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</w:rPr>
                        <w:t xml:space="preserve">IO1: </w:t>
                      </w: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  <w:t xml:space="preserve">Учебна програма за обучение </w:t>
                      </w:r>
                    </w:p>
                    <w:p w14:paraId="5930B63B" w14:textId="77777777" w:rsidR="00CB3B69" w:rsidRDefault="00CB3B69" w:rsidP="00CB3B6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  <w:t>между поколенията</w:t>
                      </w:r>
                    </w:p>
                    <w:bookmarkEnd w:id="6"/>
                    <w:p w14:paraId="0E3AA2A6" w14:textId="43888C63" w:rsidR="00355742" w:rsidRDefault="0035574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E7BC2BD" w14:textId="77777777" w:rsidR="00CB3B69" w:rsidRDefault="00CB3B69" w:rsidP="00CB3B69">
      <w:pPr>
        <w:pStyle w:val="Heading2"/>
        <w:jc w:val="both"/>
      </w:pPr>
      <w:bookmarkStart w:id="7" w:name="_heading=h.neonjk8x4wmh" w:colFirst="0" w:colLast="0"/>
      <w:bookmarkStart w:id="8" w:name="Модул_оценка"/>
      <w:bookmarkEnd w:id="7"/>
      <w:r>
        <w:rPr>
          <w:lang w:val="bg-BG"/>
        </w:rPr>
        <w:t>Модул Оценка на обучението</w:t>
      </w:r>
      <w:r>
        <w:t xml:space="preserve"> </w:t>
      </w:r>
    </w:p>
    <w:bookmarkEnd w:id="8"/>
    <w:p w14:paraId="5B7DD10F" w14:textId="30CDAA5D" w:rsidR="00CB3B69" w:rsidRDefault="00CB3B69" w:rsidP="00CB3B69">
      <w:pPr>
        <w:pStyle w:val="Heading4"/>
        <w:numPr>
          <w:ilvl w:val="0"/>
          <w:numId w:val="9"/>
        </w:numPr>
      </w:pPr>
      <w:r>
        <w:rPr>
          <w:lang w:val="bg-BG"/>
        </w:rPr>
        <w:t>Лист за оценяване</w:t>
      </w:r>
      <w:r>
        <w:t xml:space="preserve">: </w:t>
      </w:r>
    </w:p>
    <w:p w14:paraId="42D71601" w14:textId="2CF56362" w:rsidR="00CB3B69" w:rsidRPr="009E19BA" w:rsidRDefault="009E19BA" w:rsidP="009E19B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 w:rsidRPr="009E19BA">
        <w:rPr>
          <w:color w:val="636A6F"/>
          <w:lang w:val="bg-BG"/>
        </w:rPr>
        <w:t xml:space="preserve"> </w:t>
      </w:r>
      <w:r w:rsidR="00CB3B69" w:rsidRPr="009E19BA">
        <w:rPr>
          <w:color w:val="636A6F"/>
          <w:lang w:val="bg-BG"/>
        </w:rPr>
        <w:t>В изследване, проведено от Уилям Фрай през 2016 г., на каква възраст един работник се възприема вече за възрастен ?</w:t>
      </w:r>
    </w:p>
    <w:p w14:paraId="50740984" w14:textId="77777777" w:rsidR="00CB3B69" w:rsidRDefault="00CB3B69" w:rsidP="00CB3B6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</w:rPr>
        <w:t xml:space="preserve">45 </w:t>
      </w:r>
    </w:p>
    <w:p w14:paraId="0E9DEF0A" w14:textId="317A8FA2" w:rsidR="00CB3B69" w:rsidRPr="007338D2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 xml:space="preserve">б.   </w:t>
      </w:r>
      <w:r>
        <w:rPr>
          <w:color w:val="636A6F"/>
        </w:rPr>
        <w:t xml:space="preserve">51 </w:t>
      </w:r>
    </w:p>
    <w:p w14:paraId="5BE7FD31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 xml:space="preserve">в.   </w:t>
      </w:r>
      <w:r>
        <w:rPr>
          <w:color w:val="636A6F"/>
        </w:rPr>
        <w:t>61</w:t>
      </w:r>
    </w:p>
    <w:p w14:paraId="6DE9213B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636A6F"/>
        </w:rPr>
      </w:pPr>
      <w:r>
        <w:rPr>
          <w:color w:val="636A6F"/>
          <w:lang w:val="bg-BG"/>
        </w:rPr>
        <w:t xml:space="preserve">г.   </w:t>
      </w:r>
      <w:r>
        <w:rPr>
          <w:color w:val="636A6F"/>
        </w:rPr>
        <w:t>65</w:t>
      </w:r>
    </w:p>
    <w:p w14:paraId="23ACCBDF" w14:textId="77777777" w:rsidR="00CB3B69" w:rsidRDefault="00CB3B69" w:rsidP="00CB3B69">
      <w:pPr>
        <w:jc w:val="both"/>
      </w:pPr>
      <w:r>
        <w:rPr>
          <w:lang w:val="bg-BG"/>
        </w:rPr>
        <w:t>Обосновете отговора си</w:t>
      </w:r>
      <w:r>
        <w:t xml:space="preserve">: </w:t>
      </w:r>
    </w:p>
    <w:p w14:paraId="3715F22B" w14:textId="7BA7AAA9" w:rsidR="00CB3B69" w:rsidRPr="009E19BA" w:rsidRDefault="00CB3B69" w:rsidP="009E19B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 w:rsidRPr="009E19BA">
        <w:rPr>
          <w:color w:val="636A6F"/>
          <w:lang w:val="bg-BG"/>
        </w:rPr>
        <w:t xml:space="preserve">Вярно или Грешно: Някои от често срещаните форми на дискриминация, наблюдавани от възрастните, включват пряка дискриминация, непряка дискриминация и превръщането им в жертва (виктимизация). </w:t>
      </w:r>
    </w:p>
    <w:p w14:paraId="5FF83263" w14:textId="4E9F09FE" w:rsidR="00CB3B69" w:rsidRDefault="00CB3B69" w:rsidP="009E19B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>Вярно</w:t>
      </w:r>
      <w:r>
        <w:rPr>
          <w:color w:val="636A6F"/>
        </w:rPr>
        <w:t xml:space="preserve"> </w:t>
      </w:r>
    </w:p>
    <w:p w14:paraId="4FB1E6D7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636A6F"/>
        </w:rPr>
      </w:pPr>
      <w:r>
        <w:rPr>
          <w:color w:val="636A6F"/>
          <w:lang w:val="bg-BG"/>
        </w:rPr>
        <w:t>б.   Грешно</w:t>
      </w:r>
    </w:p>
    <w:p w14:paraId="76F1AF01" w14:textId="77777777" w:rsidR="00CB3B69" w:rsidRDefault="00CB3B69" w:rsidP="00CB3B69">
      <w:pPr>
        <w:jc w:val="both"/>
      </w:pPr>
      <w:r>
        <w:rPr>
          <w:lang w:val="bg-BG"/>
        </w:rPr>
        <w:t>Обосновете отговора си</w:t>
      </w:r>
      <w:r>
        <w:t xml:space="preserve">: </w:t>
      </w:r>
    </w:p>
    <w:p w14:paraId="30D39E98" w14:textId="77777777" w:rsidR="00CB3B69" w:rsidRDefault="00CB3B69" w:rsidP="009E19B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>Вярно или Грешно</w:t>
      </w:r>
      <w:r>
        <w:rPr>
          <w:color w:val="636A6F"/>
        </w:rPr>
        <w:t xml:space="preserve">: </w:t>
      </w:r>
      <w:r>
        <w:rPr>
          <w:color w:val="636A6F"/>
          <w:lang w:val="bg-BG"/>
        </w:rPr>
        <w:t xml:space="preserve">Стереотипите са винаги отрицателни по своята същност. </w:t>
      </w:r>
    </w:p>
    <w:p w14:paraId="4177EFFB" w14:textId="77777777" w:rsidR="00CB3B69" w:rsidRDefault="00CB3B69" w:rsidP="009E19B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>Вярно</w:t>
      </w:r>
    </w:p>
    <w:p w14:paraId="313E43F4" w14:textId="00B29882" w:rsidR="00CB3B69" w:rsidRPr="00ED4A40" w:rsidRDefault="00CB3B69" w:rsidP="00CB3B6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636A6F"/>
        </w:rPr>
      </w:pPr>
      <w:r>
        <w:rPr>
          <w:color w:val="636A6F"/>
          <w:lang w:val="bg-BG"/>
        </w:rPr>
        <w:t>б.   Грешн</w:t>
      </w:r>
      <w:r w:rsidR="00ED4A40">
        <w:rPr>
          <w:color w:val="636A6F"/>
        </w:rPr>
        <w:t>o</w:t>
      </w:r>
    </w:p>
    <w:p w14:paraId="3CC1C454" w14:textId="77777777" w:rsidR="00CB3B69" w:rsidRDefault="00CB3B69" w:rsidP="00CB3B69">
      <w:pPr>
        <w:jc w:val="both"/>
      </w:pPr>
      <w:r>
        <w:rPr>
          <w:lang w:val="bg-BG"/>
        </w:rPr>
        <w:t>Обосновете отговора си:</w:t>
      </w:r>
      <w:r>
        <w:t xml:space="preserve"> </w:t>
      </w:r>
    </w:p>
    <w:p w14:paraId="70959870" w14:textId="77777777" w:rsidR="00CB3B69" w:rsidRDefault="00CB3B69" w:rsidP="009E19B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 xml:space="preserve">В коя област отделът или специалистът по човешки ресурси може да се справи с възрастовата дискриминация </w:t>
      </w:r>
      <w:r>
        <w:rPr>
          <w:color w:val="636A6F"/>
        </w:rPr>
        <w:t xml:space="preserve"> </w:t>
      </w:r>
    </w:p>
    <w:p w14:paraId="3605FD4B" w14:textId="77777777" w:rsidR="00CB3B69" w:rsidRDefault="00CB3B69" w:rsidP="009E19B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>Набиране и подбор</w:t>
      </w:r>
    </w:p>
    <w:p w14:paraId="1ED302C9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lastRenderedPageBreak/>
        <w:t xml:space="preserve">б.   Управление на ефективността </w:t>
      </w:r>
      <w:r>
        <w:rPr>
          <w:color w:val="636A6F"/>
        </w:rPr>
        <w:t xml:space="preserve"> </w:t>
      </w:r>
    </w:p>
    <w:p w14:paraId="201E9903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 xml:space="preserve">в.   Обучение и развитие </w:t>
      </w:r>
      <w:r>
        <w:rPr>
          <w:color w:val="636A6F"/>
        </w:rPr>
        <w:t xml:space="preserve"> </w:t>
      </w:r>
    </w:p>
    <w:p w14:paraId="50E0C036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>г.    Планиране и насърчаване на наследяването</w:t>
      </w:r>
    </w:p>
    <w:p w14:paraId="593AB354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 xml:space="preserve">д.    Компенсации и обезщетения </w:t>
      </w:r>
    </w:p>
    <w:p w14:paraId="3BFE83F1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>е.    Репутация на работодателя/ Корпоративна идентичност</w:t>
      </w:r>
    </w:p>
    <w:p w14:paraId="2E189A01" w14:textId="3F61CC1D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 xml:space="preserve">ж.    Всичко изброено </w:t>
      </w:r>
    </w:p>
    <w:p w14:paraId="00D8EFF5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636A6F"/>
        </w:rPr>
      </w:pPr>
    </w:p>
    <w:p w14:paraId="1D7A4A72" w14:textId="77777777" w:rsidR="00CB3B69" w:rsidRDefault="00CB3B69" w:rsidP="009E19B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 xml:space="preserve">Вярно или Грешно: Възрастовото разнообразие е лошо за бизнеса </w:t>
      </w:r>
    </w:p>
    <w:p w14:paraId="7786B2FB" w14:textId="77777777" w:rsidR="00CB3B69" w:rsidRDefault="00CB3B69" w:rsidP="009E19B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>Вярно</w:t>
      </w:r>
    </w:p>
    <w:p w14:paraId="058D3C0A" w14:textId="20D567E3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636A6F"/>
        </w:rPr>
      </w:pPr>
      <w:r>
        <w:rPr>
          <w:color w:val="636A6F"/>
          <w:lang w:val="bg-BG"/>
        </w:rPr>
        <w:t xml:space="preserve">б.   Грешно </w:t>
      </w:r>
    </w:p>
    <w:p w14:paraId="1644F645" w14:textId="77777777" w:rsidR="00CB3B69" w:rsidRDefault="00CB3B69" w:rsidP="00CB3B69">
      <w:pPr>
        <w:jc w:val="both"/>
      </w:pPr>
      <w:r>
        <w:rPr>
          <w:lang w:val="bg-BG"/>
        </w:rPr>
        <w:t>Обосновете отговора си:</w:t>
      </w:r>
      <w:r>
        <w:t xml:space="preserve"> </w:t>
      </w:r>
    </w:p>
    <w:p w14:paraId="6EA8761A" w14:textId="77777777" w:rsidR="00CB3B69" w:rsidRDefault="00CB3B69" w:rsidP="009E19B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>По време на процеса на набиране на персонал, кой от следните термини трябва да се използва за обозначаване на лица:</w:t>
      </w:r>
    </w:p>
    <w:p w14:paraId="4FC7B6C2" w14:textId="77777777" w:rsidR="00CB3B69" w:rsidRDefault="00CB3B69" w:rsidP="009E19B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>Опитен</w:t>
      </w:r>
    </w:p>
    <w:p w14:paraId="3BBB1F4C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>б.   Родени дигитални (</w:t>
      </w:r>
      <w:r>
        <w:rPr>
          <w:color w:val="636A6F"/>
        </w:rPr>
        <w:t>Digital natives</w:t>
      </w:r>
      <w:r>
        <w:rPr>
          <w:color w:val="636A6F"/>
          <w:lang w:val="bg-BG"/>
        </w:rPr>
        <w:t>)</w:t>
      </w:r>
      <w:r>
        <w:rPr>
          <w:color w:val="636A6F"/>
        </w:rPr>
        <w:t xml:space="preserve"> </w:t>
      </w:r>
    </w:p>
    <w:p w14:paraId="14AC72E4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 xml:space="preserve">в.   </w:t>
      </w:r>
      <w:r>
        <w:rPr>
          <w:color w:val="636A6F"/>
        </w:rPr>
        <w:t xml:space="preserve"> </w:t>
      </w:r>
      <w:r>
        <w:rPr>
          <w:color w:val="636A6F"/>
          <w:lang w:val="bg-BG"/>
        </w:rPr>
        <w:t>Експерт с дългогодишен опит (</w:t>
      </w:r>
      <w:r>
        <w:rPr>
          <w:color w:val="636A6F"/>
        </w:rPr>
        <w:t>Seasoned</w:t>
      </w:r>
      <w:r>
        <w:rPr>
          <w:color w:val="636A6F"/>
          <w:lang w:val="bg-BG"/>
        </w:rPr>
        <w:t>)</w:t>
      </w:r>
      <w:r>
        <w:rPr>
          <w:color w:val="636A6F"/>
        </w:rPr>
        <w:t xml:space="preserve"> </w:t>
      </w:r>
    </w:p>
    <w:p w14:paraId="36C044DC" w14:textId="5A0E2B05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  <w:lang w:val="bg-BG"/>
        </w:rPr>
      </w:pPr>
      <w:r>
        <w:rPr>
          <w:color w:val="636A6F"/>
          <w:lang w:val="bg-BG"/>
        </w:rPr>
        <w:t>г.    Нито едно от изброените</w:t>
      </w:r>
      <w:r>
        <w:rPr>
          <w:color w:val="636A6F"/>
        </w:rPr>
        <w:t xml:space="preserve"> – </w:t>
      </w:r>
      <w:r>
        <w:rPr>
          <w:color w:val="636A6F"/>
          <w:lang w:val="bg-BG"/>
        </w:rPr>
        <w:t>верен отговор</w:t>
      </w:r>
    </w:p>
    <w:p w14:paraId="6C953368" w14:textId="77777777" w:rsidR="00ED4A40" w:rsidRDefault="00ED4A40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</w:p>
    <w:p w14:paraId="091E6FF6" w14:textId="27E91C6F" w:rsidR="00CB3B69" w:rsidRDefault="00CB3B69" w:rsidP="009E19B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 xml:space="preserve">360-градусовата обратна връзка позволява:  </w:t>
      </w:r>
    </w:p>
    <w:p w14:paraId="6FB9E125" w14:textId="0E291B6F" w:rsidR="00CB3B69" w:rsidRDefault="00CB3B69" w:rsidP="009E19B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bookmarkStart w:id="9" w:name="_Hlk79152442"/>
      <w:r>
        <w:rPr>
          <w:color w:val="636A6F"/>
          <w:lang w:val="bg-BG"/>
        </w:rPr>
        <w:t xml:space="preserve">Всички членове на екипа предоставят обратна връзка на хората </w:t>
      </w:r>
      <w:bookmarkEnd w:id="9"/>
      <w:r>
        <w:rPr>
          <w:color w:val="636A6F"/>
          <w:lang w:val="bg-BG"/>
        </w:rPr>
        <w:t xml:space="preserve"> </w:t>
      </w:r>
    </w:p>
    <w:p w14:paraId="48FF2BCC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>б.   Само избрани членове имат право на критика към другите</w:t>
      </w:r>
    </w:p>
    <w:p w14:paraId="0040058F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636A6F"/>
        </w:rPr>
      </w:pPr>
    </w:p>
    <w:p w14:paraId="3321E743" w14:textId="77777777" w:rsidR="00CB3B69" w:rsidRDefault="00CB3B69" w:rsidP="009E19B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 xml:space="preserve">Вярно или Грешно: Организациите не трябва да вземат предвид възрастта за пенсиониране, когато разглеждат своите политики и процедури, свързани с възрастта: </w:t>
      </w:r>
    </w:p>
    <w:p w14:paraId="36B1C48B" w14:textId="77777777" w:rsidR="00CB3B69" w:rsidRDefault="00CB3B69" w:rsidP="009E19B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>Вярно</w:t>
      </w:r>
    </w:p>
    <w:p w14:paraId="5CCDCA22" w14:textId="0D815059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 xml:space="preserve">б.   Грешно </w:t>
      </w:r>
    </w:p>
    <w:p w14:paraId="5DD058AF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636A6F"/>
        </w:rPr>
      </w:pPr>
    </w:p>
    <w:p w14:paraId="1CE725B7" w14:textId="77777777" w:rsidR="00CB3B69" w:rsidRDefault="00CB3B69" w:rsidP="009E19B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>Благоприятните за различните възрасти услуги представляват</w:t>
      </w:r>
      <w:r>
        <w:rPr>
          <w:color w:val="636A6F"/>
        </w:rPr>
        <w:t>:</w:t>
      </w:r>
    </w:p>
    <w:p w14:paraId="6A9EA5C9" w14:textId="77777777" w:rsidR="00CB3B69" w:rsidRDefault="00CB3B69" w:rsidP="009E19B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 xml:space="preserve">Всеки, независимо от възрастта си, да има достъп до услугите, които желае </w:t>
      </w:r>
    </w:p>
    <w:p w14:paraId="634AF4B9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 xml:space="preserve">б.   Равенство между всички хора, независимо от тяхната възраст </w:t>
      </w:r>
    </w:p>
    <w:p w14:paraId="4D9B3BD7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 xml:space="preserve">в.   Създаване на градове и села за застаряващото население </w:t>
      </w:r>
    </w:p>
    <w:p w14:paraId="575390C1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 xml:space="preserve">г.    Всичко изброено – верен отговор </w:t>
      </w:r>
    </w:p>
    <w:p w14:paraId="3BE51A4C" w14:textId="77777777" w:rsidR="00CB3B69" w:rsidRDefault="00CB3B69" w:rsidP="00CB3B6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636A6F"/>
        </w:rPr>
      </w:pPr>
    </w:p>
    <w:p w14:paraId="5F2EBBCF" w14:textId="77777777" w:rsidR="00CB3B69" w:rsidRDefault="00CB3B69" w:rsidP="009E19B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 xml:space="preserve">Обратното менторство насърчава: </w:t>
      </w:r>
    </w:p>
    <w:p w14:paraId="1EE7EB1D" w14:textId="77777777" w:rsidR="00CB3B69" w:rsidRDefault="00CB3B69" w:rsidP="009E19B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  <w:lang w:val="bg-BG"/>
        </w:rPr>
        <w:t>Обмен на знания</w:t>
      </w:r>
      <w:r>
        <w:rPr>
          <w:color w:val="636A6F"/>
        </w:rPr>
        <w:t xml:space="preserve"> </w:t>
      </w:r>
    </w:p>
    <w:p w14:paraId="42337520" w14:textId="651A33F0" w:rsidR="00CB3B69" w:rsidRDefault="00114993" w:rsidP="001149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 xml:space="preserve">б.    </w:t>
      </w:r>
      <w:r w:rsidR="00CB3B69">
        <w:rPr>
          <w:color w:val="636A6F"/>
          <w:lang w:val="bg-BG"/>
        </w:rPr>
        <w:t xml:space="preserve">Изграждане на увереност </w:t>
      </w:r>
    </w:p>
    <w:p w14:paraId="4B21324D" w14:textId="29D2E3CC" w:rsidR="00CB3B69" w:rsidRDefault="00114993" w:rsidP="001149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636A6F"/>
        </w:rPr>
      </w:pPr>
      <w:r>
        <w:rPr>
          <w:color w:val="636A6F"/>
          <w:lang w:val="bg-BG"/>
        </w:rPr>
        <w:t xml:space="preserve">в.    </w:t>
      </w:r>
      <w:r w:rsidR="00CB3B69">
        <w:rPr>
          <w:color w:val="636A6F"/>
          <w:lang w:val="bg-BG"/>
        </w:rPr>
        <w:t xml:space="preserve">Поглед върху „голямата картина“ </w:t>
      </w:r>
    </w:p>
    <w:p w14:paraId="27CE4F87" w14:textId="17AC06D3" w:rsidR="00CB3B69" w:rsidRPr="00CB3B69" w:rsidRDefault="00114993" w:rsidP="0011499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color w:val="636A6F"/>
          <w:lang w:val="bg-BG"/>
        </w:rPr>
        <w:t xml:space="preserve">г.    </w:t>
      </w:r>
      <w:r w:rsidR="00CB3B69" w:rsidRPr="00ED4A40">
        <w:rPr>
          <w:color w:val="636A6F"/>
          <w:lang w:val="bg-BG"/>
        </w:rPr>
        <w:t xml:space="preserve">Всичко изброено  </w:t>
      </w:r>
    </w:p>
    <w:sectPr w:rsidR="00CB3B69" w:rsidRPr="00CB3B69">
      <w:headerReference w:type="default" r:id="rId8"/>
      <w:footerReference w:type="default" r:id="rId9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DD57" w14:textId="77777777" w:rsidR="0073045B" w:rsidRDefault="0073045B">
      <w:pPr>
        <w:spacing w:after="0" w:line="240" w:lineRule="auto"/>
      </w:pPr>
      <w:r>
        <w:separator/>
      </w:r>
    </w:p>
  </w:endnote>
  <w:endnote w:type="continuationSeparator" w:id="0">
    <w:p w14:paraId="6462B046" w14:textId="77777777" w:rsidR="0073045B" w:rsidRDefault="0073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21C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72A1C129" wp14:editId="427C3416">
          <wp:simplePos x="0" y="0"/>
          <wp:positionH relativeFrom="column">
            <wp:posOffset>-628649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1E702F0" wp14:editId="06688DF4">
              <wp:simplePos x="0" y="0"/>
              <wp:positionH relativeFrom="column">
                <wp:posOffset>965200</wp:posOffset>
              </wp:positionH>
              <wp:positionV relativeFrom="paragraph">
                <wp:posOffset>127000</wp:posOffset>
              </wp:positionV>
              <wp:extent cx="5395595" cy="647700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406E6" w14:textId="77777777" w:rsidR="00CB3B69" w:rsidRPr="00853652" w:rsidRDefault="00CB3B69" w:rsidP="00CB3B69">
                          <w:pPr>
                            <w:textDirection w:val="btLr"/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</w:pP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Този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проект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е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финансиран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с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подкрепата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Европейската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комисия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Програма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Еразъм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+.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Настоящата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публикация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отразява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единствено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вижданията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автора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и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Комисията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носи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отговорност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за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начина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който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може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да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бъде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използвана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съдържащата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се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  <w:lang w:val="bg-BG"/>
                            </w:rPr>
                            <w:t xml:space="preserve">в нея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информация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. 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  <w:lang w:val="bg-BG"/>
                            </w:rPr>
                            <w:t>Проект номер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:  2020-1-BG01-KA202-079064</w:t>
                          </w:r>
                        </w:p>
                        <w:p w14:paraId="290BD5D7" w14:textId="77777777" w:rsidR="00355742" w:rsidRDefault="003557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E702F0" id="Rectangle 220" o:spid="_x0000_s1029" style="position:absolute;margin-left:76pt;margin-top:10pt;width:424.8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" filled="f" stroked="f">
              <v:textbox inset="2.53958mm,1.2694mm,2.53958mm,1.2694mm">
                <w:txbxContent>
                  <w:p w14:paraId="225406E6" w14:textId="77777777" w:rsidR="00CB3B69" w:rsidRPr="00853652" w:rsidRDefault="00CB3B69" w:rsidP="00CB3B69">
                    <w:pPr>
                      <w:textDirection w:val="btLr"/>
                      <w:rPr>
                        <w:rFonts w:ascii="Open Sans" w:hAnsi="Open Sans"/>
                        <w:color w:val="636A6F"/>
                        <w:sz w:val="16"/>
                      </w:rPr>
                    </w:pP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Този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проект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е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финансиран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с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подкрепата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Европейската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комисия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Програма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Еразъм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+.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Настоящата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публикация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отразява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единствено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вижданията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автора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и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Комисията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носи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отговорност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за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начина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,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който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може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да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бъде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използвана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съдържащата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се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  <w:lang w:val="bg-BG"/>
                      </w:rPr>
                      <w:t xml:space="preserve">в нея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информация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. 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  <w:lang w:val="bg-BG"/>
                      </w:rPr>
                      <w:t>Проект номер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:  2020-1-BG01-KA202-079064</w:t>
                    </w:r>
                  </w:p>
                  <w:p w14:paraId="290BD5D7" w14:textId="77777777" w:rsidR="00355742" w:rsidRDefault="0035574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D4C1C28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3B0D" w14:textId="77777777" w:rsidR="0073045B" w:rsidRDefault="0073045B">
      <w:pPr>
        <w:spacing w:after="0" w:line="240" w:lineRule="auto"/>
      </w:pPr>
      <w:r>
        <w:separator/>
      </w:r>
    </w:p>
  </w:footnote>
  <w:footnote w:type="continuationSeparator" w:id="0">
    <w:p w14:paraId="572C05B9" w14:textId="77777777" w:rsidR="0073045B" w:rsidRDefault="0073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6B9C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39806B93" wp14:editId="0EABC7BD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6F1A4F43" wp14:editId="5F5FA09E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CA9207" w14:textId="77777777" w:rsidR="00355742" w:rsidRDefault="00A67BE7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470C8A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1A4F43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4BCA9207" w14:textId="77777777" w:rsidR="00355742" w:rsidRDefault="00A67BE7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470C8A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7D02"/>
    <w:multiLevelType w:val="multilevel"/>
    <w:tmpl w:val="14A6A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F15E60"/>
    <w:multiLevelType w:val="hybridMultilevel"/>
    <w:tmpl w:val="AC107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C6736"/>
    <w:multiLevelType w:val="hybridMultilevel"/>
    <w:tmpl w:val="F0BE396E"/>
    <w:lvl w:ilvl="0" w:tplc="F5C04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C691D"/>
    <w:rsid w:val="00114993"/>
    <w:rsid w:val="00121FEC"/>
    <w:rsid w:val="00355742"/>
    <w:rsid w:val="00470C8A"/>
    <w:rsid w:val="0073045B"/>
    <w:rsid w:val="00860054"/>
    <w:rsid w:val="009422ED"/>
    <w:rsid w:val="009E19BA"/>
    <w:rsid w:val="00A67BE7"/>
    <w:rsid w:val="00C42B15"/>
    <w:rsid w:val="00CB3B69"/>
    <w:rsid w:val="00D334B9"/>
    <w:rsid w:val="00E0527D"/>
    <w:rsid w:val="00E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778D7F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Business1</cp:lastModifiedBy>
  <cp:revision>9</cp:revision>
  <cp:lastPrinted>2021-07-28T07:49:00Z</cp:lastPrinted>
  <dcterms:created xsi:type="dcterms:W3CDTF">2021-07-28T08:02:00Z</dcterms:created>
  <dcterms:modified xsi:type="dcterms:W3CDTF">2021-08-06T11:38:00Z</dcterms:modified>
</cp:coreProperties>
</file>