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39000" cy="589774"/>
                <wp:effectExtent b="0" l="0" r="0" t="0"/>
                <wp:wrapNone/>
                <wp:docPr id="16" name=""/>
                <a:graphic>
                  <a:graphicData uri="http://schemas.microsoft.com/office/word/2010/wordprocessingShape">
                    <wps:wsp>
                      <wps:cNvSpPr/>
                      <wps:cNvPr id="2" name="Shape 2"/>
                      <wps:spPr>
                        <a:xfrm>
                          <a:off x="1731263" y="3518063"/>
                          <a:ext cx="7229475" cy="5238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39000" cy="589774"/>
                <wp:effectExtent b="0" l="0" r="0" t="0"/>
                <wp:wrapNone/>
                <wp:docPr id="1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239000" cy="589774"/>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362700" cy="1083948"/>
                <wp:effectExtent b="0" l="0" r="0" t="0"/>
                <wp:wrapNone/>
                <wp:docPr id="17" name=""/>
                <a:graphic>
                  <a:graphicData uri="http://schemas.microsoft.com/office/word/2010/wordprocessingShape">
                    <wps:wsp>
                      <wps:cNvSpPr/>
                      <wps:cNvPr id="3" name="Shape 3"/>
                      <wps:spPr>
                        <a:xfrm>
                          <a:off x="2169425" y="3098971"/>
                          <a:ext cx="6353100" cy="9294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44"/>
                                <w:vertAlign w:val="baseline"/>
                              </w:rPr>
                              <w:t xml:space="preserve">Modul 2 Analýza a identifikace mezigeneračních potřeb v organizacích</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362700" cy="1083948"/>
                <wp:effectExtent b="0" l="0" r="0" t="0"/>
                <wp:wrapNone/>
                <wp:docPr id="1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62700" cy="1083948"/>
                        </a:xfrm>
                        <a:prstGeom prst="rect"/>
                        <a:ln/>
                      </pic:spPr>
                    </pic:pic>
                  </a:graphicData>
                </a:graphic>
              </wp:anchor>
            </w:drawing>
          </mc:Fallback>
        </mc:AlternateContent>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z337ya" w:id="1"/>
      <w:bookmarkEnd w:id="1"/>
      <w:r w:rsidDel="00000000" w:rsidR="00000000" w:rsidRPr="00000000">
        <w:rPr>
          <w:rtl w:val="0"/>
        </w:rPr>
        <w:t xml:space="preserve">Ověření získaných znalostí</w:t>
      </w:r>
    </w:p>
    <w:p w:rsidR="00000000" w:rsidDel="00000000" w:rsidP="00000000" w:rsidRDefault="00000000" w:rsidRPr="00000000" w14:paraId="00000009">
      <w:pPr>
        <w:pStyle w:val="Heading2"/>
        <w:rPr>
          <w:b w:val="0"/>
        </w:rPr>
      </w:pPr>
      <w:bookmarkStart w:colFirst="0" w:colLast="0" w:name="_heading=h.9n002j0zcch" w:id="2"/>
      <w:bookmarkEnd w:id="2"/>
      <w:r w:rsidDel="00000000" w:rsidR="00000000" w:rsidRPr="00000000">
        <w:rPr>
          <w:b w:val="0"/>
          <w:rtl w:val="0"/>
        </w:rPr>
        <w:t xml:space="preserve">Kvíz </w:t>
      </w:r>
    </w:p>
    <w:p w:rsidR="00000000" w:rsidDel="00000000" w:rsidP="00000000" w:rsidRDefault="00000000" w:rsidRPr="00000000" w14:paraId="0000000A">
      <w:pPr>
        <w:rPr>
          <w:rFonts w:ascii="Open Sans" w:cs="Open Sans" w:eastAsia="Open Sans" w:hAnsi="Open Sans"/>
          <w:i w:val="1"/>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Analýza vzdělávacích potřeb je často považována za první krok organizace s cílem iniciovat změnu ke zvýšení výkonu jednotlivců. </w:t>
      </w:r>
    </w:p>
    <w:p w:rsidR="00000000" w:rsidDel="00000000" w:rsidP="00000000" w:rsidRDefault="00000000" w:rsidRPr="00000000" w14:paraId="0000000C">
      <w:pPr>
        <w:numPr>
          <w:ilvl w:val="0"/>
          <w:numId w:val="4"/>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0D">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Analýza vzdělávacích potřeb by měla být prováděna pouze na úrovni organizace. </w:t>
      </w:r>
    </w:p>
    <w:p w:rsidR="00000000" w:rsidDel="00000000" w:rsidP="00000000" w:rsidRDefault="00000000" w:rsidRPr="00000000" w14:paraId="00000010">
      <w:pPr>
        <w:numPr>
          <w:ilvl w:val="0"/>
          <w:numId w:val="1"/>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1">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12">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Analýza profesionálních postupů určité skupiny lidí může vést k nesprávné identifikaci potřeb školení a je třeba se jí vyhnout. </w:t>
      </w:r>
    </w:p>
    <w:p w:rsidR="00000000" w:rsidDel="00000000" w:rsidP="00000000" w:rsidRDefault="00000000" w:rsidRPr="00000000" w14:paraId="00000014">
      <w:pPr>
        <w:numPr>
          <w:ilvl w:val="0"/>
          <w:numId w:val="10"/>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5">
      <w:pPr>
        <w:numPr>
          <w:ilvl w:val="0"/>
          <w:numId w:val="10"/>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16">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Které úrovně navrhuje McGhee a Thayer? Napište je prosím níže. </w:t>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Která z následujících složek není součástí modelu ADDIE? </w:t>
      </w:r>
    </w:p>
    <w:p w:rsidR="00000000" w:rsidDel="00000000" w:rsidP="00000000" w:rsidRDefault="00000000" w:rsidRPr="00000000" w14:paraId="0000001A">
      <w:pPr>
        <w:numPr>
          <w:ilvl w:val="0"/>
          <w:numId w:val="5"/>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Design</w:t>
      </w:r>
    </w:p>
    <w:p w:rsidR="00000000" w:rsidDel="00000000" w:rsidP="00000000" w:rsidRDefault="00000000" w:rsidRPr="00000000" w14:paraId="0000001B">
      <w:pPr>
        <w:numPr>
          <w:ilvl w:val="0"/>
          <w:numId w:val="5"/>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Přehled</w:t>
      </w:r>
    </w:p>
    <w:p w:rsidR="00000000" w:rsidDel="00000000" w:rsidP="00000000" w:rsidRDefault="00000000" w:rsidRPr="00000000" w14:paraId="0000001C">
      <w:pPr>
        <w:numPr>
          <w:ilvl w:val="0"/>
          <w:numId w:val="5"/>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Analýza</w:t>
      </w:r>
    </w:p>
    <w:p w:rsidR="00000000" w:rsidDel="00000000" w:rsidP="00000000" w:rsidRDefault="00000000" w:rsidRPr="00000000" w14:paraId="0000001D">
      <w:pPr>
        <w:numPr>
          <w:ilvl w:val="0"/>
          <w:numId w:val="5"/>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Implementace</w:t>
      </w:r>
    </w:p>
    <w:p w:rsidR="00000000" w:rsidDel="00000000" w:rsidP="00000000" w:rsidRDefault="00000000" w:rsidRPr="00000000" w14:paraId="0000001E">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Evaluace</w:t>
      </w:r>
    </w:p>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Skupinové diskuze (focus groups) a rozhovory (interviews) nejsou doporučenými způsoby provedení analýzy vzdělávacích potřeb. </w:t>
      </w:r>
    </w:p>
    <w:p w:rsidR="00000000" w:rsidDel="00000000" w:rsidP="00000000" w:rsidRDefault="00000000" w:rsidRPr="00000000" w14:paraId="00000021">
      <w:pPr>
        <w:numPr>
          <w:ilvl w:val="0"/>
          <w:numId w:val="7"/>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2">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Fáze hodnocení školení je sumativní a formativní. </w:t>
      </w:r>
    </w:p>
    <w:p w:rsidR="00000000" w:rsidDel="00000000" w:rsidP="00000000" w:rsidRDefault="00000000" w:rsidRPr="00000000" w14:paraId="00000025">
      <w:pPr>
        <w:numPr>
          <w:ilvl w:val="0"/>
          <w:numId w:val="6"/>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6">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7">
      <w:pPr>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Školení, které navrhnete, by mělo brát v úvahu také publikum a jeho vzdělávací potřeby. </w:t>
      </w:r>
    </w:p>
    <w:p w:rsidR="00000000" w:rsidDel="00000000" w:rsidP="00000000" w:rsidRDefault="00000000" w:rsidRPr="00000000" w14:paraId="00000029">
      <w:pPr>
        <w:numPr>
          <w:ilvl w:val="0"/>
          <w:numId w:val="3"/>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A">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Je důležité stanovit prioritu vzdělávacích aktivit, které budou organizovány. </w:t>
      </w:r>
    </w:p>
    <w:p w:rsidR="00000000" w:rsidDel="00000000" w:rsidP="00000000" w:rsidRDefault="00000000" w:rsidRPr="00000000" w14:paraId="0000002D">
      <w:pPr>
        <w:numPr>
          <w:ilvl w:val="0"/>
          <w:numId w:val="8"/>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E">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F">
      <w:pPr>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Školení je vyžadováno, pouze pokud se v organizaci zavádí nový software nebo digitální nástroj. </w:t>
      </w:r>
    </w:p>
    <w:p w:rsidR="00000000" w:rsidDel="00000000" w:rsidP="00000000" w:rsidRDefault="00000000" w:rsidRPr="00000000" w14:paraId="00000031">
      <w:pPr>
        <w:numPr>
          <w:ilvl w:val="0"/>
          <w:numId w:val="9"/>
        </w:numPr>
        <w:spacing w:after="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32">
      <w:pPr>
        <w:numPr>
          <w:ilvl w:val="0"/>
          <w:numId w:val="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33">
      <w:pPr>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pStyle w:val="Heading2"/>
        <w:rPr/>
      </w:pPr>
      <w:bookmarkStart w:colFirst="0" w:colLast="0" w:name="_heading=h.3j2qqm3" w:id="3"/>
      <w:bookmarkEnd w:id="3"/>
      <w:r w:rsidDel="00000000" w:rsidR="00000000" w:rsidRPr="00000000">
        <w:rPr>
          <w:rtl w:val="0"/>
        </w:rPr>
      </w:r>
    </w:p>
    <w:p w:rsidR="00000000" w:rsidDel="00000000" w:rsidP="00000000" w:rsidRDefault="00000000" w:rsidRPr="00000000" w14:paraId="00000035">
      <w:pPr>
        <w:rPr/>
      </w:pPr>
      <w:bookmarkStart w:colFirst="0" w:colLast="0" w:name="_heading=h.acdtxfx2ey1d" w:id="4"/>
      <w:bookmarkEnd w:id="4"/>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9" w:type="default"/>
      <w:footerReference r:id="rId10" w:type="default"/>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-628646</wp:posOffset>
          </wp:positionH>
          <wp:positionV relativeFrom="paragraph">
            <wp:posOffset>228600</wp:posOffset>
          </wp:positionV>
          <wp:extent cx="1533525" cy="315595"/>
          <wp:effectExtent b="0" l="0" r="0" t="0"/>
          <wp:wrapNone/>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3525" cy="3155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5424170" cy="676275"/>
              <wp:effectExtent b="0" l="0" r="0" t="0"/>
              <wp:wrapNone/>
              <wp:docPr id="18" name=""/>
              <a:graphic>
                <a:graphicData uri="http://schemas.microsoft.com/office/word/2010/wordprocessingShape">
                  <wps:wsp>
                    <wps:cNvSpPr/>
                    <wps:cNvPr id="4" name="Shape 4"/>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5424170" cy="676275"/>
              <wp:effectExtent b="0" l="0" r="0" t="0"/>
              <wp:wrapNone/>
              <wp:docPr id="1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24170" cy="676275"/>
                      </a:xfrm>
                      <a:prstGeom prst="rect"/>
                      <a:ln/>
                    </pic:spPr>
                  </pic:pic>
                </a:graphicData>
              </a:graphic>
            </wp:anchor>
          </w:drawing>
        </mc:Fallback>
      </mc:AlternateConten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-476244</wp:posOffset>
          </wp:positionH>
          <wp:positionV relativeFrom="paragraph">
            <wp:posOffset>-171446</wp:posOffset>
          </wp:positionV>
          <wp:extent cx="771525" cy="479735"/>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-208279</wp:posOffset>
              </wp:positionV>
              <wp:extent cx="2399030" cy="485775"/>
              <wp:effectExtent b="0" l="0" r="0" t="0"/>
              <wp:wrapSquare wrapText="bothSides" distB="45720" distT="45720" distL="114300" distR="114300"/>
              <wp:docPr id="19"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-208279</wp:posOffset>
              </wp:positionV>
              <wp:extent cx="2399030" cy="485775"/>
              <wp:effectExtent b="0" l="0" r="0" t="0"/>
              <wp:wrapSquare wrapText="bothSides" distB="45720" distT="45720" distL="114300" distR="114300"/>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99030" cy="4857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0KpDO1DHPg7Ue2q+Mag/ZoGKQ==">AMUW2mU8gxZ+ho1xAXRIzobYdJL7f+SbhQKxkotkHmK8oMu+iXnlzG6tFWgMBa0YJM5sjpeD2L/Vxz9ngXSUGG+NENYWcAqSk/n1lfDKN0cfAMNVer56b1S25kWksDTe2k5JVWvTxuGqJ87fBDFBTdC4CY7fan7u0xXDwYaQMk5A6xpdzzg1Erf0cahXvCYqme07FG4tkU0t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2021-07-28T08:13:00Z</dcterms:created>
  <dc:creator>Eleni Nicolaou</dc:creator>
</cp:coreProperties>
</file>